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3B" w:rsidRDefault="00E34B3B" w:rsidP="00E34B3B"/>
    <w:p w:rsidR="00844B6A" w:rsidRPr="00844B6A" w:rsidRDefault="00844B6A" w:rsidP="00844B6A">
      <w:pPr>
        <w:keepNext/>
        <w:ind w:firstLine="567"/>
        <w:jc w:val="center"/>
        <w:outlineLvl w:val="8"/>
        <w:rPr>
          <w:rFonts w:eastAsia="Times New Roman" w:cs="Times New Roman"/>
          <w:b/>
          <w:szCs w:val="24"/>
          <w:lang w:eastAsia="ru-RU"/>
        </w:rPr>
      </w:pPr>
      <w:r w:rsidRPr="00844B6A">
        <w:rPr>
          <w:rFonts w:eastAsia="Times New Roman" w:cs="Times New Roman"/>
          <w:b/>
          <w:szCs w:val="24"/>
          <w:lang w:eastAsia="ru-RU"/>
        </w:rPr>
        <w:t>МЕТОДИЧЕСКИЕ УКАЗАНИЯ ДЛЯ СТУДЕНТОВ ЗАОЧНОЙ ФОРМЫ ОБУЧЕНИЯ</w:t>
      </w: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>Самостоятельная работа студентов заочной формы обучения предполагает выполнение контрольной работы и подготовку к устному ответу на зачёте/экзамене.</w:t>
      </w:r>
    </w:p>
    <w:p w:rsidR="00844B6A" w:rsidRPr="00844B6A" w:rsidRDefault="00844B6A" w:rsidP="00844B6A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 xml:space="preserve">Студент-заочник обязан выполнить одну контрольную работу в семестр.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 выбрать </w:t>
      </w:r>
      <w:r w:rsidRPr="00844B6A">
        <w:rPr>
          <w:rFonts w:eastAsia="Times New Roman" w:cs="Times New Roman"/>
          <w:szCs w:val="24"/>
          <w:u w:val="single"/>
          <w:lang w:eastAsia="ru-RU"/>
        </w:rPr>
        <w:t>одну из тем</w:t>
      </w:r>
      <w:r w:rsidRPr="00844B6A">
        <w:rPr>
          <w:rFonts w:eastAsia="Times New Roman" w:cs="Times New Roman"/>
          <w:szCs w:val="24"/>
          <w:lang w:eastAsia="ru-RU"/>
        </w:rPr>
        <w:t xml:space="preserve"> под номерами 4, 14, 24, 34 или 44, если последняя цифра – 0, то может быть выбрана тема под номером 10, 20, 30, 40 или 50.</w:t>
      </w:r>
    </w:p>
    <w:p w:rsidR="00844B6A" w:rsidRPr="00844B6A" w:rsidRDefault="00844B6A" w:rsidP="00844B6A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  <w:t xml:space="preserve">Работа должна быть озаглавлена – вначале необходимо указать тему, сформулированную в соответствии с нижеприведённым списком. Обязательным элементом контрольной работы является развернутый план, состоящий  из трех основных пунктов. Во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введении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 студент обосновывает выбор темы и указывает ее важность или актуальность для изучения, определяет основные проблемы работы, цели и задачи контрольной работы. В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основной части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 (может быть </w:t>
      </w:r>
      <w:proofErr w:type="gramStart"/>
      <w:r w:rsidRPr="00844B6A">
        <w:rPr>
          <w:rFonts w:eastAsia="Times New Roman" w:cs="Times New Roman"/>
          <w:bCs/>
          <w:szCs w:val="24"/>
          <w:lang w:eastAsia="ru-RU"/>
        </w:rPr>
        <w:t>разделена</w:t>
      </w:r>
      <w:proofErr w:type="gramEnd"/>
      <w:r w:rsidRPr="00844B6A">
        <w:rPr>
          <w:rFonts w:eastAsia="Times New Roman" w:cs="Times New Roman"/>
          <w:bCs/>
          <w:szCs w:val="24"/>
          <w:lang w:eastAsia="ru-RU"/>
        </w:rPr>
        <w:t xml:space="preserve"> на 2-3 </w:t>
      </w:r>
      <w:r>
        <w:rPr>
          <w:rFonts w:eastAsia="Times New Roman" w:cs="Times New Roman"/>
          <w:bCs/>
          <w:szCs w:val="24"/>
          <w:lang w:eastAsia="ru-RU"/>
        </w:rPr>
        <w:t xml:space="preserve">озаглавленных </w:t>
      </w:r>
      <w:r w:rsidRPr="00844B6A">
        <w:rPr>
          <w:rFonts w:eastAsia="Times New Roman" w:cs="Times New Roman"/>
          <w:bCs/>
          <w:szCs w:val="24"/>
          <w:lang w:eastAsia="ru-RU"/>
        </w:rPr>
        <w:t xml:space="preserve">подпункта) раскрывается содержание темы. В конце контрольной работы следует </w:t>
      </w:r>
      <w:r w:rsidRPr="00844B6A">
        <w:rPr>
          <w:rFonts w:eastAsia="Times New Roman" w:cs="Times New Roman"/>
          <w:bCs/>
          <w:szCs w:val="24"/>
          <w:u w:val="single"/>
          <w:lang w:eastAsia="ru-RU"/>
        </w:rPr>
        <w:t>заключение</w:t>
      </w:r>
      <w:r w:rsidRPr="00844B6A">
        <w:rPr>
          <w:rFonts w:eastAsia="Times New Roman" w:cs="Times New Roman"/>
          <w:bCs/>
          <w:szCs w:val="24"/>
          <w:lang w:eastAsia="ru-RU"/>
        </w:rPr>
        <w:t>, в котором подводятся итоги и делаются выводы  по конкретной рассматриваемой теме</w:t>
      </w:r>
      <w:r>
        <w:rPr>
          <w:rFonts w:eastAsia="Times New Roman" w:cs="Times New Roman"/>
          <w:bCs/>
          <w:szCs w:val="24"/>
          <w:lang w:eastAsia="ru-RU"/>
        </w:rPr>
        <w:t xml:space="preserve"> в целом</w:t>
      </w:r>
      <w:r w:rsidRPr="00844B6A">
        <w:rPr>
          <w:rFonts w:eastAsia="Times New Roman" w:cs="Times New Roman"/>
          <w:bCs/>
          <w:szCs w:val="24"/>
          <w:lang w:eastAsia="ru-RU"/>
        </w:rPr>
        <w:t>.</w:t>
      </w:r>
    </w:p>
    <w:p w:rsidR="00844B6A" w:rsidRPr="00844B6A" w:rsidRDefault="00844B6A" w:rsidP="00844B6A">
      <w:pPr>
        <w:ind w:firstLine="425"/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>Следует придерживаться рекомендуемого объёма контрольной работы – 12-15 страниц рукописного текста или 10-12 страниц компьютерного текста (</w:t>
      </w:r>
      <w:r w:rsidRPr="00844B6A">
        <w:rPr>
          <w:rFonts w:eastAsia="Times New Roman" w:cs="Times New Roman"/>
          <w:bCs/>
          <w:szCs w:val="24"/>
          <w:lang w:val="en-US" w:eastAsia="ru-RU"/>
        </w:rPr>
        <w:t>TNR</w:t>
      </w:r>
      <w:r w:rsidRPr="00844B6A">
        <w:rPr>
          <w:rFonts w:eastAsia="Times New Roman" w:cs="Times New Roman"/>
          <w:bCs/>
          <w:szCs w:val="24"/>
          <w:lang w:eastAsia="ru-RU"/>
        </w:rPr>
        <w:t>, 14 шрифт, 1,5 интервал</w:t>
      </w:r>
      <w:r w:rsidRPr="00844B6A">
        <w:rPr>
          <w:rFonts w:eastAsia="Times New Roman" w:cs="Times New Roman"/>
          <w:bCs/>
          <w:sz w:val="28"/>
          <w:szCs w:val="24"/>
          <w:lang w:eastAsia="ru-RU"/>
        </w:rPr>
        <w:t xml:space="preserve">). </w:t>
      </w:r>
    </w:p>
    <w:p w:rsidR="00844B6A" w:rsidRPr="00844B6A" w:rsidRDefault="00844B6A" w:rsidP="00844B6A">
      <w:pPr>
        <w:ind w:firstLine="425"/>
        <w:jc w:val="both"/>
        <w:rPr>
          <w:rFonts w:eastAsia="Times New Roman" w:cs="Times New Roman"/>
          <w:szCs w:val="24"/>
          <w:lang w:eastAsia="ru-RU"/>
        </w:rPr>
      </w:pPr>
      <w:r w:rsidRPr="00844B6A">
        <w:rPr>
          <w:rFonts w:eastAsia="Times New Roman" w:cs="Times New Roman"/>
          <w:szCs w:val="24"/>
          <w:lang w:eastAsia="ru-RU"/>
        </w:rPr>
        <w:t xml:space="preserve">Список источников к работе должен включать как общие работы по истории </w:t>
      </w:r>
      <w:r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4"/>
          <w:lang w:eastAsia="ru-RU"/>
        </w:rPr>
        <w:t>мирвой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</w:t>
      </w:r>
      <w:r w:rsidRPr="00844B6A">
        <w:rPr>
          <w:rFonts w:eastAsia="Times New Roman" w:cs="Times New Roman"/>
          <w:szCs w:val="24"/>
          <w:lang w:eastAsia="ru-RU"/>
        </w:rPr>
        <w:t xml:space="preserve">культуры, так и сборники статей, журнальные статьи, монографии (или части монографий) по выбранной теме. Если в тексте есть цитируемое высказывание, то следует сделать ссылку в конце предложения в квадратных скобках на номер цитируемого источника из списка литературы с указанием страницы. При использовании электронных источников необходимо указывать автора, названия использованных материалов, а не только </w:t>
      </w:r>
      <w:proofErr w:type="gramStart"/>
      <w:r w:rsidRPr="00844B6A">
        <w:rPr>
          <w:rFonts w:eastAsia="Times New Roman" w:cs="Times New Roman"/>
          <w:szCs w:val="24"/>
          <w:lang w:eastAsia="ru-RU"/>
        </w:rPr>
        <w:t>интернет-ссылки</w:t>
      </w:r>
      <w:proofErr w:type="gramEnd"/>
      <w:r w:rsidRPr="00844B6A">
        <w:rPr>
          <w:rFonts w:eastAsia="Times New Roman" w:cs="Times New Roman"/>
          <w:szCs w:val="24"/>
          <w:lang w:eastAsia="ru-RU"/>
        </w:rPr>
        <w:t xml:space="preserve"> (например, </w:t>
      </w:r>
      <w:proofErr w:type="spellStart"/>
      <w:r w:rsidRPr="00844B6A">
        <w:rPr>
          <w:rFonts w:eastAsia="Times New Roman" w:cs="Times New Roman"/>
          <w:szCs w:val="24"/>
          <w:lang w:eastAsia="ru-RU"/>
        </w:rPr>
        <w:t>Садохин</w:t>
      </w:r>
      <w:proofErr w:type="spellEnd"/>
      <w:r w:rsidRPr="00844B6A">
        <w:rPr>
          <w:rFonts w:eastAsia="Times New Roman" w:cs="Times New Roman"/>
          <w:szCs w:val="24"/>
          <w:lang w:eastAsia="ru-RU"/>
        </w:rPr>
        <w:t xml:space="preserve"> А.П. Мировая культура и искусство</w:t>
      </w:r>
      <w:r w:rsidRPr="00844B6A">
        <w:rPr>
          <w:rFonts w:eastAsia="Times New Roman" w:cs="Times New Roman"/>
          <w:color w:val="000000"/>
          <w:szCs w:val="24"/>
          <w:lang w:eastAsia="ru-RU"/>
        </w:rPr>
        <w:t xml:space="preserve">// </w:t>
      </w:r>
      <w:hyperlink r:id="rId6" w:history="1"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http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://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www</w:t>
        </w:r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biblioclub</w:t>
        </w:r>
        <w:proofErr w:type="spellEnd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eastAsia="ru-RU"/>
          </w:rPr>
          <w:t>.</w:t>
        </w:r>
        <w:proofErr w:type="spellStart"/>
        <w:r w:rsidRPr="00844B6A">
          <w:rPr>
            <w:rFonts w:eastAsia="Times New Roman" w:cs="Times New Roman"/>
            <w:bCs/>
            <w:color w:val="000000"/>
            <w:szCs w:val="24"/>
            <w:u w:val="single"/>
            <w:lang w:val="en-US" w:eastAsia="ru-RU"/>
          </w:rPr>
          <w:t>ru</w:t>
        </w:r>
        <w:proofErr w:type="spellEnd"/>
      </w:hyperlink>
      <w:r w:rsidRPr="00844B6A">
        <w:rPr>
          <w:rFonts w:eastAsia="Times New Roman" w:cs="Times New Roman"/>
          <w:color w:val="000000"/>
          <w:szCs w:val="24"/>
          <w:lang w:eastAsia="ru-RU"/>
        </w:rPr>
        <w:t>).</w:t>
      </w:r>
    </w:p>
    <w:p w:rsidR="00844B6A" w:rsidRPr="00844B6A" w:rsidRDefault="00844B6A" w:rsidP="00844B6A">
      <w:pPr>
        <w:jc w:val="both"/>
        <w:rPr>
          <w:rFonts w:eastAsia="Times New Roman" w:cs="Times New Roman"/>
          <w:bCs/>
          <w:szCs w:val="24"/>
          <w:lang w:eastAsia="ru-RU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  <w:t>В контрольную работу необходимо включать иллюстрац</w:t>
      </w:r>
      <w:bookmarkStart w:id="0" w:name="_GoBack"/>
      <w:bookmarkEnd w:id="0"/>
      <w:r w:rsidRPr="00844B6A">
        <w:rPr>
          <w:rFonts w:eastAsia="Times New Roman" w:cs="Times New Roman"/>
          <w:bCs/>
          <w:szCs w:val="24"/>
          <w:lang w:eastAsia="ru-RU"/>
        </w:rPr>
        <w:t>ии  (в виде цветных или чёрно-белых ксерокопий картин, скульптур, архитектурных памятников и т.д.) по соответствующей теме. Репродукции допустимо включать в текст, либо выносить в приложение к контрольной работе. Репродукции должны быть подписаны и соотнесены с текстом по смыслу.</w:t>
      </w:r>
    </w:p>
    <w:p w:rsidR="00844B6A" w:rsidRPr="00844B6A" w:rsidRDefault="00844B6A" w:rsidP="00844B6A">
      <w:pPr>
        <w:jc w:val="both"/>
        <w:rPr>
          <w:rFonts w:eastAsia="Times New Roman" w:cs="Times New Roman"/>
          <w:szCs w:val="24"/>
        </w:rPr>
      </w:pPr>
      <w:r w:rsidRPr="00844B6A">
        <w:rPr>
          <w:rFonts w:eastAsia="Times New Roman" w:cs="Times New Roman"/>
          <w:bCs/>
          <w:szCs w:val="24"/>
          <w:lang w:eastAsia="ru-RU"/>
        </w:rPr>
        <w:tab/>
      </w:r>
      <w:r w:rsidRPr="00844B6A">
        <w:rPr>
          <w:rFonts w:eastAsia="Times New Roman" w:cs="Times New Roman"/>
          <w:szCs w:val="24"/>
        </w:rPr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Pr="00844B6A">
        <w:rPr>
          <w:rFonts w:eastAsia="Times New Roman" w:cs="Times New Roman"/>
          <w:szCs w:val="24"/>
        </w:rPr>
        <w:t>позднее</w:t>
      </w:r>
      <w:proofErr w:type="gramEnd"/>
      <w:r w:rsidRPr="00844B6A">
        <w:rPr>
          <w:rFonts w:eastAsia="Times New Roman" w:cs="Times New Roman"/>
          <w:szCs w:val="24"/>
        </w:rPr>
        <w:t xml:space="preserve"> чем за 2-3 недели до начала сессии</w:t>
      </w:r>
      <w:r>
        <w:rPr>
          <w:rFonts w:eastAsia="Times New Roman" w:cs="Times New Roman"/>
          <w:szCs w:val="24"/>
        </w:rPr>
        <w:t>.</w:t>
      </w:r>
      <w:r w:rsidRPr="00844B6A">
        <w:rPr>
          <w:rFonts w:eastAsia="Times New Roman" w:cs="Times New Roman"/>
          <w:szCs w:val="24"/>
        </w:rPr>
        <w:t xml:space="preserve"> Узнать результаты проверенной работы нужно также заранее</w:t>
      </w:r>
      <w:r>
        <w:rPr>
          <w:rFonts w:eastAsia="Times New Roman" w:cs="Times New Roman"/>
          <w:szCs w:val="24"/>
        </w:rPr>
        <w:t xml:space="preserve"> (забрать с проверки)</w:t>
      </w:r>
      <w:r w:rsidRPr="00844B6A">
        <w:rPr>
          <w:rFonts w:eastAsia="Times New Roman" w:cs="Times New Roman"/>
          <w:szCs w:val="24"/>
        </w:rPr>
        <w:t xml:space="preserve"> - ДО зачета, при необходимости доработать (в комментариях кратко указываются замечания). </w:t>
      </w:r>
    </w:p>
    <w:p w:rsidR="00844B6A" w:rsidRPr="00844B6A" w:rsidRDefault="00844B6A" w:rsidP="00844B6A">
      <w:pPr>
        <w:jc w:val="both"/>
        <w:rPr>
          <w:rFonts w:eastAsia="Times New Roman" w:cs="Times New Roman"/>
          <w:snapToGrid w:val="0"/>
          <w:szCs w:val="24"/>
          <w:lang w:eastAsia="ru-RU"/>
        </w:rPr>
      </w:pPr>
      <w:r w:rsidRPr="00844B6A">
        <w:rPr>
          <w:rFonts w:eastAsia="Times New Roman" w:cs="Times New Roman"/>
          <w:snapToGrid w:val="0"/>
          <w:szCs w:val="24"/>
          <w:lang w:eastAsia="ru-RU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844B6A" w:rsidRDefault="00844B6A" w:rsidP="00992DE9">
      <w:pPr>
        <w:jc w:val="both"/>
        <w:rPr>
          <w:rFonts w:eastAsia="Times New Roman" w:cs="Times New Roman"/>
          <w:szCs w:val="24"/>
        </w:rPr>
      </w:pPr>
      <w:r w:rsidRPr="00844B6A">
        <w:rPr>
          <w:rFonts w:eastAsia="Times New Roman" w:cs="Times New Roman"/>
          <w:szCs w:val="24"/>
        </w:rPr>
        <w:tab/>
      </w:r>
      <w:proofErr w:type="gramStart"/>
      <w:r w:rsidRPr="00844B6A">
        <w:rPr>
          <w:rFonts w:eastAsia="Times New Roman" w:cs="Times New Roman"/>
          <w:szCs w:val="24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зачёте) в виде собеседования по теме контрольной работы, т.е. </w:t>
      </w:r>
      <w:r w:rsidRPr="00844B6A">
        <w:rPr>
          <w:rFonts w:eastAsia="Times New Roman" w:cs="Times New Roman"/>
          <w:b/>
          <w:szCs w:val="24"/>
        </w:rPr>
        <w:t>студент должен знать содержание своей работы и уметь внятно и четко его изложить при устном ответе</w:t>
      </w:r>
      <w:r w:rsidRPr="00844B6A">
        <w:rPr>
          <w:rFonts w:eastAsia="Times New Roman" w:cs="Times New Roman"/>
          <w:szCs w:val="24"/>
        </w:rPr>
        <w:t xml:space="preserve">, ответить на возможные </w:t>
      </w:r>
      <w:r w:rsidRPr="00844B6A">
        <w:rPr>
          <w:rFonts w:eastAsia="Times New Roman" w:cs="Times New Roman"/>
          <w:szCs w:val="24"/>
        </w:rPr>
        <w:lastRenderedPageBreak/>
        <w:t>дополнительные вопросы в пределах темы.</w:t>
      </w:r>
      <w:proofErr w:type="gramEnd"/>
      <w:r w:rsidRPr="00844B6A">
        <w:rPr>
          <w:rFonts w:eastAsia="Times New Roman" w:cs="Times New Roman"/>
          <w:szCs w:val="24"/>
        </w:rPr>
        <w:t xml:space="preserve">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844B6A">
        <w:rPr>
          <w:rFonts w:eastAsia="Times New Roman" w:cs="Times New Roman"/>
          <w:szCs w:val="24"/>
        </w:rPr>
        <w:t>зачетно</w:t>
      </w:r>
      <w:proofErr w:type="spellEnd"/>
      <w:r w:rsidRPr="00844B6A">
        <w:rPr>
          <w:rFonts w:eastAsia="Times New Roman" w:cs="Times New Roman"/>
          <w:szCs w:val="24"/>
        </w:rPr>
        <w:t>-экзаменационной сессии.</w:t>
      </w:r>
    </w:p>
    <w:p w:rsidR="00844B6A" w:rsidRDefault="00844B6A" w:rsidP="00844B6A">
      <w:pPr>
        <w:rPr>
          <w:b/>
        </w:rPr>
      </w:pPr>
    </w:p>
    <w:p w:rsidR="009679F4" w:rsidRDefault="009679F4" w:rsidP="0059138D">
      <w:pPr>
        <w:jc w:val="center"/>
        <w:rPr>
          <w:b/>
        </w:rPr>
      </w:pPr>
      <w:r w:rsidRPr="0059138D">
        <w:rPr>
          <w:b/>
        </w:rPr>
        <w:t>Тем</w:t>
      </w:r>
      <w:r w:rsidR="002C35BE">
        <w:rPr>
          <w:b/>
        </w:rPr>
        <w:t>атика</w:t>
      </w:r>
      <w:r w:rsidRPr="0059138D">
        <w:rPr>
          <w:b/>
        </w:rPr>
        <w:t xml:space="preserve"> </w:t>
      </w:r>
      <w:r w:rsidR="002C35BE">
        <w:rPr>
          <w:b/>
        </w:rPr>
        <w:t>контрольных</w:t>
      </w:r>
      <w:r w:rsidRPr="0059138D">
        <w:rPr>
          <w:b/>
        </w:rPr>
        <w:t xml:space="preserve"> </w:t>
      </w:r>
      <w:r w:rsidR="002C35BE">
        <w:rPr>
          <w:b/>
        </w:rPr>
        <w:t xml:space="preserve">работ по </w:t>
      </w:r>
      <w:r w:rsidRPr="0059138D">
        <w:rPr>
          <w:b/>
        </w:rPr>
        <w:t>дисциплине «История мировой культуры и литературы»</w:t>
      </w:r>
    </w:p>
    <w:p w:rsidR="00DC57B2" w:rsidRPr="0059138D" w:rsidRDefault="00DC57B2" w:rsidP="0059138D">
      <w:pPr>
        <w:jc w:val="center"/>
        <w:rPr>
          <w:b/>
        </w:rPr>
      </w:pPr>
      <w:r>
        <w:rPr>
          <w:b/>
        </w:rPr>
        <w:t>1 семестр</w:t>
      </w:r>
    </w:p>
    <w:p w:rsidR="00E34B3B" w:rsidRDefault="00D04C38" w:rsidP="00E65D6E">
      <w:pPr>
        <w:pStyle w:val="a3"/>
        <w:numPr>
          <w:ilvl w:val="0"/>
          <w:numId w:val="1"/>
        </w:numPr>
      </w:pPr>
      <w:r>
        <w:t>Генезис культуры и</w:t>
      </w:r>
      <w:r w:rsidR="00E34B3B">
        <w:t xml:space="preserve"> искусств</w:t>
      </w:r>
      <w:r>
        <w:t>а</w:t>
      </w:r>
      <w:r w:rsidR="00E34B3B">
        <w:t>. Особенности первобытно</w:t>
      </w:r>
      <w:r w:rsidR="009679F4">
        <w:t>й культуры и</w:t>
      </w:r>
      <w:r w:rsidR="00E34B3B">
        <w:t xml:space="preserve"> искусства</w:t>
      </w:r>
      <w:r w:rsidR="009679F4">
        <w:t>.</w:t>
      </w:r>
    </w:p>
    <w:p w:rsidR="00E34B3B" w:rsidRDefault="009679F4" w:rsidP="00E65D6E">
      <w:pPr>
        <w:pStyle w:val="a3"/>
        <w:numPr>
          <w:ilvl w:val="0"/>
          <w:numId w:val="1"/>
        </w:numPr>
      </w:pPr>
      <w:r>
        <w:t>Влияние религиозных верований на и</w:t>
      </w:r>
      <w:r w:rsidR="00E34B3B">
        <w:t>зобразительное искусство и архитектур</w:t>
      </w:r>
      <w:r>
        <w:t>у</w:t>
      </w:r>
      <w:r w:rsidR="00E34B3B">
        <w:t xml:space="preserve"> Древнего Египта.</w:t>
      </w:r>
    </w:p>
    <w:p w:rsidR="008B5BC2" w:rsidRDefault="00C768CF" w:rsidP="00E65D6E">
      <w:pPr>
        <w:pStyle w:val="a3"/>
        <w:numPr>
          <w:ilvl w:val="0"/>
          <w:numId w:val="1"/>
        </w:numPr>
      </w:pPr>
      <w:r>
        <w:t>Художественная</w:t>
      </w:r>
      <w:r w:rsidR="008B5BC2">
        <w:t xml:space="preserve"> культура народов Месопотамии.</w:t>
      </w:r>
    </w:p>
    <w:p w:rsidR="00E34B3B" w:rsidRDefault="007C6978" w:rsidP="00E65D6E">
      <w:pPr>
        <w:pStyle w:val="a3"/>
        <w:numPr>
          <w:ilvl w:val="0"/>
          <w:numId w:val="1"/>
        </w:numPr>
      </w:pPr>
      <w:r>
        <w:t>Древнейшие эпосы народов Месопотамии.</w:t>
      </w:r>
    </w:p>
    <w:p w:rsidR="008B5BC2" w:rsidRDefault="008B5BC2" w:rsidP="00E65D6E">
      <w:pPr>
        <w:pStyle w:val="a3"/>
        <w:numPr>
          <w:ilvl w:val="0"/>
          <w:numId w:val="1"/>
        </w:numPr>
      </w:pPr>
      <w:r>
        <w:t>Отражение религиозных верований Древней Индии в искусстве.</w:t>
      </w:r>
    </w:p>
    <w:p w:rsidR="009679F4" w:rsidRDefault="007C6978" w:rsidP="00E65D6E">
      <w:pPr>
        <w:pStyle w:val="a3"/>
        <w:numPr>
          <w:ilvl w:val="0"/>
          <w:numId w:val="1"/>
        </w:numPr>
      </w:pPr>
      <w:r>
        <w:t>Древнеиндийские эпосы «Махабхарата» и «Рамаяна», их культурное значение.</w:t>
      </w:r>
    </w:p>
    <w:p w:rsidR="000F1701" w:rsidRDefault="007C6978" w:rsidP="000F1701">
      <w:pPr>
        <w:pStyle w:val="a3"/>
        <w:numPr>
          <w:ilvl w:val="0"/>
          <w:numId w:val="1"/>
        </w:numPr>
        <w:tabs>
          <w:tab w:val="left" w:pos="709"/>
          <w:tab w:val="left" w:pos="851"/>
        </w:tabs>
      </w:pPr>
      <w:r>
        <w:t>Человек и природа в древнекитайском искусстве.</w:t>
      </w:r>
      <w:r w:rsidR="000F1701" w:rsidRPr="000F1701">
        <w:t xml:space="preserve"> </w:t>
      </w:r>
    </w:p>
    <w:p w:rsidR="000F1701" w:rsidRDefault="000F1701" w:rsidP="000F1701">
      <w:pPr>
        <w:pStyle w:val="a3"/>
        <w:numPr>
          <w:ilvl w:val="0"/>
          <w:numId w:val="1"/>
        </w:numPr>
        <w:tabs>
          <w:tab w:val="left" w:pos="709"/>
          <w:tab w:val="left" w:pos="851"/>
        </w:tabs>
      </w:pPr>
      <w:r>
        <w:t>Своеобразие культуры и искусства Японии.</w:t>
      </w:r>
    </w:p>
    <w:p w:rsidR="000F1701" w:rsidRDefault="000F1701" w:rsidP="000F1701">
      <w:pPr>
        <w:pStyle w:val="a3"/>
        <w:numPr>
          <w:ilvl w:val="0"/>
          <w:numId w:val="1"/>
        </w:numPr>
      </w:pPr>
      <w:r>
        <w:t>Искусство сада в китайской и японской культурах.</w:t>
      </w:r>
    </w:p>
    <w:p w:rsidR="006057DA" w:rsidRDefault="00E34B3B" w:rsidP="00E65D6E">
      <w:pPr>
        <w:pStyle w:val="a3"/>
        <w:numPr>
          <w:ilvl w:val="0"/>
          <w:numId w:val="1"/>
        </w:numPr>
      </w:pPr>
      <w:r>
        <w:t xml:space="preserve">Древнегреческая мифология как </w:t>
      </w:r>
      <w:r w:rsidR="00E65D6E">
        <w:t xml:space="preserve">источник сюжетов </w:t>
      </w:r>
      <w:r w:rsidR="006057DA">
        <w:t>европейского искусства.</w:t>
      </w:r>
    </w:p>
    <w:p w:rsidR="00F83BA5" w:rsidRDefault="00F83BA5" w:rsidP="00E65D6E">
      <w:pPr>
        <w:pStyle w:val="a3"/>
        <w:numPr>
          <w:ilvl w:val="0"/>
          <w:numId w:val="1"/>
        </w:numPr>
      </w:pPr>
      <w:r>
        <w:t>Образ человека в древнегреческом искусстве.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Древнегреческая литература: доклассический период. Гомеровский эпос</w:t>
      </w:r>
      <w:r w:rsidR="00F83BA5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Древнегреческая литература: классический период. Развитие трагедии и комедии</w:t>
      </w:r>
      <w:r w:rsidR="006057DA">
        <w:t>.</w:t>
      </w:r>
    </w:p>
    <w:p w:rsidR="00E34B3B" w:rsidRDefault="006057DA" w:rsidP="00E65D6E">
      <w:pPr>
        <w:pStyle w:val="a3"/>
        <w:numPr>
          <w:ilvl w:val="0"/>
          <w:numId w:val="1"/>
        </w:numPr>
      </w:pPr>
      <w:r>
        <w:t>Э</w:t>
      </w:r>
      <w:r w:rsidR="000C1902">
        <w:t>поха э</w:t>
      </w:r>
      <w:r>
        <w:t>ллинизм</w:t>
      </w:r>
      <w:r w:rsidR="000C1902">
        <w:t>а</w:t>
      </w:r>
      <w:r>
        <w:t>: упадок или новый поворот в искусстве античности.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Римское искусство</w:t>
      </w:r>
      <w:r w:rsidR="006057DA">
        <w:t>: синтез</w:t>
      </w:r>
      <w:r>
        <w:t xml:space="preserve"> культурных заимствований</w:t>
      </w:r>
      <w:r w:rsidR="006057DA">
        <w:t xml:space="preserve"> и собственных достижений.</w:t>
      </w:r>
    </w:p>
    <w:p w:rsidR="006057DA" w:rsidRDefault="006057DA" w:rsidP="00E65D6E">
      <w:pPr>
        <w:pStyle w:val="a3"/>
        <w:numPr>
          <w:ilvl w:val="0"/>
          <w:numId w:val="1"/>
        </w:numPr>
      </w:pPr>
      <w:r>
        <w:t>Искусство Древней Греции и Древнего Рима: общее и особенное.</w:t>
      </w:r>
    </w:p>
    <w:p w:rsidR="006057DA" w:rsidRDefault="00E34B3B" w:rsidP="00E65D6E">
      <w:pPr>
        <w:pStyle w:val="a3"/>
        <w:numPr>
          <w:ilvl w:val="0"/>
          <w:numId w:val="1"/>
        </w:numPr>
      </w:pPr>
      <w:r>
        <w:t>Древнеримская литература</w:t>
      </w:r>
      <w:r w:rsidR="006057DA">
        <w:t>: поэзия Вергилия,</w:t>
      </w:r>
      <w:r w:rsidR="006057DA" w:rsidRPr="006057DA">
        <w:t xml:space="preserve"> </w:t>
      </w:r>
      <w:r w:rsidR="006057DA">
        <w:t>творчество Горация, Овидия.</w:t>
      </w:r>
    </w:p>
    <w:p w:rsidR="00D00ED0" w:rsidRDefault="00D00ED0" w:rsidP="00D00ED0">
      <w:pPr>
        <w:pStyle w:val="a3"/>
        <w:numPr>
          <w:ilvl w:val="0"/>
          <w:numId w:val="1"/>
        </w:numPr>
      </w:pPr>
      <w:r>
        <w:t>Ветхий Завет как духовная основа мировой культуры.</w:t>
      </w:r>
    </w:p>
    <w:p w:rsidR="00E34B3B" w:rsidRDefault="006057DA" w:rsidP="00E65D6E">
      <w:pPr>
        <w:pStyle w:val="a3"/>
        <w:numPr>
          <w:ilvl w:val="0"/>
          <w:numId w:val="1"/>
        </w:numPr>
      </w:pPr>
      <w:r>
        <w:t xml:space="preserve">Истоки европейской </w:t>
      </w:r>
      <w:r w:rsidR="00E34B3B">
        <w:t>средневековой культуры</w:t>
      </w:r>
      <w:r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Преемственность античных традиций как основа развития духовной культуры Византии (IV-XV вв.)</w:t>
      </w:r>
      <w:r w:rsidR="007C6978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Византийская иконопись</w:t>
      </w:r>
      <w:r w:rsidR="00A55141">
        <w:t>: основные сюжеты и образы.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Языческ</w:t>
      </w:r>
      <w:r w:rsidR="00E65D6E">
        <w:t>ие</w:t>
      </w:r>
      <w:r>
        <w:t xml:space="preserve"> мифы древних славян</w:t>
      </w:r>
      <w:r w:rsidR="00E65D6E">
        <w:t xml:space="preserve"> и их отголоски в русской культуре.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Русский народный орнамент</w:t>
      </w:r>
      <w:r w:rsidR="00D04C38">
        <w:t>: семантика и символика.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Древнерусская письменность и литература</w:t>
      </w:r>
      <w:r w:rsidR="00D04C38">
        <w:t>.</w:t>
      </w:r>
    </w:p>
    <w:p w:rsidR="00E34B3B" w:rsidRDefault="00A55141" w:rsidP="00E65D6E">
      <w:pPr>
        <w:pStyle w:val="a3"/>
        <w:numPr>
          <w:ilvl w:val="0"/>
          <w:numId w:val="1"/>
        </w:numPr>
      </w:pPr>
      <w:r>
        <w:t>«Философия в красках»: русская иконопись.</w:t>
      </w:r>
    </w:p>
    <w:p w:rsidR="00A55141" w:rsidRDefault="00A55141" w:rsidP="00E65D6E">
      <w:pPr>
        <w:pStyle w:val="a3"/>
        <w:numPr>
          <w:ilvl w:val="0"/>
          <w:numId w:val="1"/>
        </w:numPr>
      </w:pPr>
      <w:r>
        <w:t>Иконописные школы в искусстве средневековой Руси и выдающиеся мастера иконописи (Феофан Грек, Андрей Рублёв, Дионисий, Симон Ушаков и др.).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Церковная культура Средневековой Европы</w:t>
      </w:r>
      <w:r w:rsidR="00254257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Средневековый</w:t>
      </w:r>
      <w:r w:rsidR="002F23C7">
        <w:t xml:space="preserve"> европейский</w:t>
      </w:r>
      <w:r>
        <w:t xml:space="preserve"> героический эпос</w:t>
      </w:r>
      <w:r w:rsidR="002F23C7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Рыцарская культура европейского Средневековья</w:t>
      </w:r>
      <w:r w:rsidR="00D04C38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Народная культура </w:t>
      </w:r>
      <w:proofErr w:type="gramStart"/>
      <w:r w:rsidR="00254257">
        <w:t>европейской</w:t>
      </w:r>
      <w:proofErr w:type="gramEnd"/>
      <w:r w:rsidR="00254257">
        <w:t xml:space="preserve"> </w:t>
      </w:r>
      <w:r>
        <w:t>Средневековья: крестьянская и городская</w:t>
      </w:r>
      <w:r w:rsidR="002F23C7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Зарождение традиций европейского театра</w:t>
      </w:r>
      <w:r w:rsidR="00254257">
        <w:t>.</w:t>
      </w:r>
    </w:p>
    <w:p w:rsidR="00E34B3B" w:rsidRDefault="00254257" w:rsidP="00E65D6E">
      <w:pPr>
        <w:pStyle w:val="a3"/>
        <w:numPr>
          <w:ilvl w:val="0"/>
          <w:numId w:val="1"/>
        </w:numPr>
      </w:pPr>
      <w:r>
        <w:t>Р</w:t>
      </w:r>
      <w:r w:rsidR="00E34B3B">
        <w:t>оманский стиль</w:t>
      </w:r>
      <w:r>
        <w:t xml:space="preserve"> и готика: общее и особенное.</w:t>
      </w:r>
    </w:p>
    <w:p w:rsidR="000F1701" w:rsidRDefault="000F1701" w:rsidP="000F1701">
      <w:pPr>
        <w:pStyle w:val="a3"/>
        <w:numPr>
          <w:ilvl w:val="0"/>
          <w:numId w:val="1"/>
        </w:numPr>
      </w:pPr>
      <w:r>
        <w:t>Арабо-мусульманская культура и искусство.</w:t>
      </w:r>
      <w:r w:rsidRPr="000F1701">
        <w:t xml:space="preserve"> </w:t>
      </w:r>
    </w:p>
    <w:p w:rsidR="000F1701" w:rsidRDefault="000F1701" w:rsidP="000F1701">
      <w:pPr>
        <w:pStyle w:val="a3"/>
        <w:numPr>
          <w:ilvl w:val="0"/>
          <w:numId w:val="1"/>
        </w:numPr>
      </w:pPr>
      <w:r>
        <w:t>Традиционная культура неевропейских народов Африки, Австралии. Океании.</w:t>
      </w:r>
    </w:p>
    <w:p w:rsidR="000F1701" w:rsidRDefault="000F1701" w:rsidP="000F1701">
      <w:pPr>
        <w:pStyle w:val="a3"/>
        <w:numPr>
          <w:ilvl w:val="0"/>
          <w:numId w:val="1"/>
        </w:numPr>
      </w:pPr>
      <w:r>
        <w:t xml:space="preserve">Культура, верования и искусство коренных народов Америки. </w:t>
      </w:r>
    </w:p>
    <w:p w:rsidR="00254257" w:rsidRDefault="00254257" w:rsidP="00E65D6E">
      <w:pPr>
        <w:pStyle w:val="a3"/>
        <w:numPr>
          <w:ilvl w:val="0"/>
          <w:numId w:val="1"/>
        </w:numPr>
      </w:pPr>
      <w:r>
        <w:t>Эпоха Возрождения</w:t>
      </w:r>
      <w:r w:rsidR="00E34B3B">
        <w:t xml:space="preserve">: идейно-эстетические </w:t>
      </w:r>
      <w:r>
        <w:t>основы</w:t>
      </w:r>
      <w:r w:rsidR="00E34B3B">
        <w:t xml:space="preserve"> и</w:t>
      </w:r>
      <w:r w:rsidR="0059138D">
        <w:t xml:space="preserve"> принципы искусства</w:t>
      </w:r>
      <w:r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Проторенессанс: </w:t>
      </w:r>
      <w:proofErr w:type="spellStart"/>
      <w:r>
        <w:t>Джотто</w:t>
      </w:r>
      <w:proofErr w:type="spellEnd"/>
      <w:r>
        <w:t xml:space="preserve"> и Данте</w:t>
      </w:r>
      <w:r w:rsidR="00254257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Раннее Возрождение</w:t>
      </w:r>
      <w:r w:rsidR="00EC3510">
        <w:t>: красота мира и человека в искусстве.</w:t>
      </w:r>
    </w:p>
    <w:p w:rsidR="00E34B3B" w:rsidRDefault="00EC3510" w:rsidP="00E65D6E">
      <w:pPr>
        <w:pStyle w:val="a3"/>
        <w:numPr>
          <w:ilvl w:val="0"/>
          <w:numId w:val="1"/>
        </w:numPr>
      </w:pPr>
      <w:r>
        <w:t>«</w:t>
      </w:r>
      <w:r w:rsidR="003C1BFE">
        <w:t>Титаны</w:t>
      </w:r>
      <w:r>
        <w:t xml:space="preserve">» </w:t>
      </w:r>
      <w:r w:rsidR="00E34B3B">
        <w:t>Высоко</w:t>
      </w:r>
      <w:r>
        <w:t>го Возрождения: Леонардо, Микеланджело, Рафаэль.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Позднее Возрождение. Маньеризм</w:t>
      </w:r>
      <w:r w:rsidR="00EC3510">
        <w:t>.</w:t>
      </w:r>
    </w:p>
    <w:p w:rsidR="00E34B3B" w:rsidRDefault="00140BB6" w:rsidP="00E65D6E">
      <w:pPr>
        <w:pStyle w:val="a3"/>
        <w:numPr>
          <w:ilvl w:val="0"/>
          <w:numId w:val="1"/>
        </w:numPr>
      </w:pPr>
      <w:r>
        <w:t xml:space="preserve">Северное Возрождение: идеологические основы, отличия от </w:t>
      </w:r>
      <w:r w:rsidR="003C1BFE">
        <w:t xml:space="preserve">искусства </w:t>
      </w:r>
      <w:r>
        <w:t xml:space="preserve">итальянского Ренессанса. </w:t>
      </w:r>
    </w:p>
    <w:p w:rsidR="00E34B3B" w:rsidRDefault="00140BB6" w:rsidP="00E65D6E">
      <w:pPr>
        <w:pStyle w:val="a3"/>
        <w:numPr>
          <w:ilvl w:val="0"/>
          <w:numId w:val="1"/>
        </w:numPr>
      </w:pPr>
      <w:r>
        <w:lastRenderedPageBreak/>
        <w:t>Итальянская литература эпохи Возрождения.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Литература Северного Возрождения: Англия</w:t>
      </w:r>
      <w:r w:rsidR="0059138D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>Литература Северного Возрождения: Германия</w:t>
      </w:r>
      <w:r w:rsidR="0059138D">
        <w:t>.</w:t>
      </w:r>
    </w:p>
    <w:p w:rsidR="0059138D" w:rsidRDefault="00E34B3B" w:rsidP="00E65D6E">
      <w:pPr>
        <w:pStyle w:val="a3"/>
        <w:numPr>
          <w:ilvl w:val="0"/>
          <w:numId w:val="1"/>
        </w:numPr>
      </w:pPr>
      <w:r>
        <w:t>Литература</w:t>
      </w:r>
      <w:r w:rsidR="0059138D">
        <w:t xml:space="preserve"> Ренессанса</w:t>
      </w:r>
      <w:r>
        <w:t>: Франция</w:t>
      </w:r>
      <w:r w:rsidR="0059138D">
        <w:t>.</w:t>
      </w:r>
    </w:p>
    <w:p w:rsidR="00E34B3B" w:rsidRDefault="00E34B3B" w:rsidP="00E65D6E">
      <w:pPr>
        <w:pStyle w:val="a3"/>
        <w:numPr>
          <w:ilvl w:val="0"/>
          <w:numId w:val="1"/>
        </w:numPr>
      </w:pPr>
      <w:r>
        <w:t xml:space="preserve"> </w:t>
      </w:r>
      <w:r w:rsidR="0059138D">
        <w:t xml:space="preserve">Литература Возрождения: </w:t>
      </w:r>
      <w:r>
        <w:t>Испания и Португалия</w:t>
      </w:r>
      <w:r w:rsidR="0059138D">
        <w:t>.</w:t>
      </w:r>
    </w:p>
    <w:sectPr w:rsidR="00E34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4040"/>
    <w:multiLevelType w:val="hybridMultilevel"/>
    <w:tmpl w:val="3F10B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3B"/>
    <w:rsid w:val="000C1902"/>
    <w:rsid w:val="000C76FD"/>
    <w:rsid w:val="000D469D"/>
    <w:rsid w:val="000F1701"/>
    <w:rsid w:val="000F7BF7"/>
    <w:rsid w:val="00140BB6"/>
    <w:rsid w:val="001779FC"/>
    <w:rsid w:val="00254257"/>
    <w:rsid w:val="00257656"/>
    <w:rsid w:val="002A6FFA"/>
    <w:rsid w:val="002C35BE"/>
    <w:rsid w:val="002F23C7"/>
    <w:rsid w:val="003817C7"/>
    <w:rsid w:val="003B23F3"/>
    <w:rsid w:val="003C1BFE"/>
    <w:rsid w:val="004123A7"/>
    <w:rsid w:val="0059138D"/>
    <w:rsid w:val="006057DA"/>
    <w:rsid w:val="007C5621"/>
    <w:rsid w:val="007C6978"/>
    <w:rsid w:val="00830251"/>
    <w:rsid w:val="00844B6A"/>
    <w:rsid w:val="008B5BC2"/>
    <w:rsid w:val="00911E46"/>
    <w:rsid w:val="00916E39"/>
    <w:rsid w:val="009679F4"/>
    <w:rsid w:val="00992DE9"/>
    <w:rsid w:val="00A55141"/>
    <w:rsid w:val="00AE00D1"/>
    <w:rsid w:val="00C768CF"/>
    <w:rsid w:val="00D00ED0"/>
    <w:rsid w:val="00D04C38"/>
    <w:rsid w:val="00DC57B2"/>
    <w:rsid w:val="00E34B3B"/>
    <w:rsid w:val="00E65D6E"/>
    <w:rsid w:val="00EC3510"/>
    <w:rsid w:val="00F322F3"/>
    <w:rsid w:val="00F83BA5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D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3</cp:revision>
  <dcterms:created xsi:type="dcterms:W3CDTF">2021-10-03T18:33:00Z</dcterms:created>
  <dcterms:modified xsi:type="dcterms:W3CDTF">2021-10-03T18:35:00Z</dcterms:modified>
</cp:coreProperties>
</file>